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0D49" w14:textId="33A0E795" w:rsidR="00C801FE" w:rsidRDefault="009725DC" w:rsidP="7825C402">
      <w:pPr>
        <w:rPr>
          <w:b/>
          <w:bCs/>
          <w:sz w:val="30"/>
          <w:szCs w:val="30"/>
        </w:rPr>
      </w:pPr>
      <w:r w:rsidRPr="11D8CDF4">
        <w:rPr>
          <w:b/>
          <w:bCs/>
          <w:sz w:val="30"/>
          <w:szCs w:val="30"/>
        </w:rPr>
        <w:t xml:space="preserve">21 </w:t>
      </w:r>
      <w:r w:rsidR="3960D3C8" w:rsidRPr="11D8CDF4">
        <w:rPr>
          <w:b/>
          <w:bCs/>
          <w:sz w:val="30"/>
          <w:szCs w:val="30"/>
        </w:rPr>
        <w:t>–</w:t>
      </w:r>
      <w:r w:rsidRPr="11D8CDF4">
        <w:rPr>
          <w:b/>
          <w:bCs/>
          <w:sz w:val="30"/>
          <w:szCs w:val="30"/>
        </w:rPr>
        <w:t xml:space="preserve"> Vývoj a krize východního bloku</w:t>
      </w:r>
    </w:p>
    <w:p w14:paraId="547E714D" w14:textId="77777777" w:rsidR="00C801FE" w:rsidRDefault="00C801FE"/>
    <w:p w14:paraId="11CD7144" w14:textId="0D94A2BC" w:rsidR="00C801FE" w:rsidRDefault="009725DC" w:rsidP="47F540EC">
      <w:pPr>
        <w:rPr>
          <w:b/>
          <w:bCs/>
          <w:u w:val="single"/>
        </w:rPr>
      </w:pPr>
      <w:r w:rsidRPr="11D8CDF4">
        <w:rPr>
          <w:b/>
          <w:bCs/>
          <w:u w:val="single"/>
        </w:rPr>
        <w:t>21.1 Jednoduché úkoly vázané na znalost faktografie</w:t>
      </w:r>
    </w:p>
    <w:p w14:paraId="117EEC76" w14:textId="77777777" w:rsidR="00C801FE" w:rsidRDefault="00C801FE"/>
    <w:p w14:paraId="4D422B88" w14:textId="77777777" w:rsidR="00C801FE" w:rsidRDefault="009725DC">
      <w:r>
        <w:t>21.1.1</w:t>
      </w:r>
    </w:p>
    <w:p w14:paraId="7E8CD0E0" w14:textId="5F0736C0" w:rsidR="00C801FE" w:rsidRDefault="009725DC">
      <w:r>
        <w:t>Která událost sehrála důležitou roli při vzniku polských a maďarských protestů v roce 1956</w:t>
      </w:r>
      <w:r w:rsidR="3F4718DB">
        <w:t>?</w:t>
      </w:r>
    </w:p>
    <w:p w14:paraId="7B3624B9" w14:textId="77777777" w:rsidR="00C801FE" w:rsidRDefault="009725DC">
      <w:pPr>
        <w:numPr>
          <w:ilvl w:val="0"/>
          <w:numId w:val="6"/>
        </w:numPr>
      </w:pPr>
      <w:r>
        <w:t>smrt Josifa Stalina</w:t>
      </w:r>
    </w:p>
    <w:p w14:paraId="672BB714" w14:textId="77777777" w:rsidR="00C801FE" w:rsidRDefault="009725DC">
      <w:pPr>
        <w:numPr>
          <w:ilvl w:val="0"/>
          <w:numId w:val="6"/>
        </w:numPr>
      </w:pPr>
      <w:r>
        <w:t>kubánská krize</w:t>
      </w:r>
    </w:p>
    <w:p w14:paraId="131B6D6F" w14:textId="77777777" w:rsidR="00C801FE" w:rsidRDefault="009725DC">
      <w:pPr>
        <w:numPr>
          <w:ilvl w:val="0"/>
          <w:numId w:val="6"/>
        </w:numPr>
      </w:pPr>
      <w:r>
        <w:t>volba Leonida Brežněva do čela SSSR</w:t>
      </w:r>
    </w:p>
    <w:p w14:paraId="1E41F5C5" w14:textId="77777777" w:rsidR="00C801FE" w:rsidRDefault="009725DC">
      <w:pPr>
        <w:numPr>
          <w:ilvl w:val="0"/>
          <w:numId w:val="6"/>
        </w:numPr>
      </w:pPr>
      <w:r>
        <w:t>měnová reforma v ČSR</w:t>
      </w:r>
    </w:p>
    <w:p w14:paraId="637E541E" w14:textId="77777777" w:rsidR="00C801FE" w:rsidRDefault="00C801FE"/>
    <w:p w14:paraId="006DDCAB" w14:textId="77777777" w:rsidR="00C801FE" w:rsidRDefault="009725DC">
      <w:r>
        <w:t>21.1.2</w:t>
      </w:r>
    </w:p>
    <w:p w14:paraId="11B73077" w14:textId="77777777" w:rsidR="00C801FE" w:rsidRDefault="009725DC">
      <w:r>
        <w:t>Oficiální stanovisko československé vlády vůči událostem v Maďarsku r. 1956 bylo:</w:t>
      </w:r>
    </w:p>
    <w:p w14:paraId="3BCAFC61" w14:textId="77777777" w:rsidR="00C801FE" w:rsidRDefault="009725DC">
      <w:pPr>
        <w:numPr>
          <w:ilvl w:val="0"/>
          <w:numId w:val="2"/>
        </w:numPr>
      </w:pPr>
      <w:r>
        <w:t>Vláda podporovala povstalce, ale odmítla jim poslat zbraně.</w:t>
      </w:r>
    </w:p>
    <w:p w14:paraId="7540EE96" w14:textId="77777777" w:rsidR="00C801FE" w:rsidRDefault="009725DC">
      <w:pPr>
        <w:numPr>
          <w:ilvl w:val="0"/>
          <w:numId w:val="2"/>
        </w:numPr>
      </w:pPr>
      <w:r>
        <w:t>Vláda kritizovala povstalce jako fašistické spiklence.</w:t>
      </w:r>
    </w:p>
    <w:p w14:paraId="570DF4D1" w14:textId="77777777" w:rsidR="00C801FE" w:rsidRDefault="009725DC">
      <w:pPr>
        <w:numPr>
          <w:ilvl w:val="0"/>
          <w:numId w:val="2"/>
        </w:numPr>
      </w:pPr>
      <w:r>
        <w:t>Vláda hlasovala o vyslání československých vojáků na podporu povstalců, nakonec ale do Maďarska dorazil jen jeden pluk a do bojů přímo nezasáhl.</w:t>
      </w:r>
    </w:p>
    <w:p w14:paraId="4D75C75F" w14:textId="4E72430A" w:rsidR="00C801FE" w:rsidRDefault="009725DC">
      <w:pPr>
        <w:numPr>
          <w:ilvl w:val="0"/>
          <w:numId w:val="2"/>
        </w:numPr>
      </w:pPr>
      <w:r>
        <w:t xml:space="preserve">Vláda si povstání nevšímala, protože řešila aktuální problém na vlastní hranici se </w:t>
      </w:r>
      <w:r w:rsidR="43747B66">
        <w:t>z</w:t>
      </w:r>
      <w:r>
        <w:t>ápadní Německem.</w:t>
      </w:r>
    </w:p>
    <w:p w14:paraId="3A6E725C" w14:textId="77777777" w:rsidR="00C801FE" w:rsidRDefault="00C801FE"/>
    <w:p w14:paraId="3A260E03" w14:textId="444201DB" w:rsidR="00C801FE" w:rsidRDefault="009725DC" w:rsidP="47F540EC">
      <w:pPr>
        <w:rPr>
          <w:b/>
          <w:bCs/>
          <w:u w:val="single"/>
        </w:rPr>
      </w:pPr>
      <w:r w:rsidRPr="11D8CDF4">
        <w:rPr>
          <w:b/>
          <w:bCs/>
          <w:u w:val="single"/>
        </w:rPr>
        <w:t>21.2 Složitější úkoly vázané na procedurální dovednosti a koncepty historického myšlení</w:t>
      </w:r>
    </w:p>
    <w:p w14:paraId="60F453B7" w14:textId="77777777" w:rsidR="00C801FE" w:rsidRDefault="00C801FE"/>
    <w:p w14:paraId="183C9064" w14:textId="40FC1F96" w:rsidR="00C801FE" w:rsidRDefault="009725DC">
      <w:r>
        <w:t>21.2.1 Prohlédni si fotografii z polské Poznaně z června 1956 a rozhodni, která z možností nejlépe vystihuje podstatu dění na fotografii. Na ceduli, kterou nesou lidé v popředí</w:t>
      </w:r>
      <w:r w:rsidR="385F9FE2">
        <w:t>,</w:t>
      </w:r>
      <w:r>
        <w:t xml:space="preserve"> je napsáno </w:t>
      </w:r>
      <w:r w:rsidR="1AE246CE">
        <w:t>„</w:t>
      </w:r>
      <w:r>
        <w:t>Žádáme chleba</w:t>
      </w:r>
      <w:r w:rsidR="57582B92">
        <w:t>“</w:t>
      </w:r>
      <w:r>
        <w:t>.</w:t>
      </w:r>
    </w:p>
    <w:p w14:paraId="667BF7EF" w14:textId="77777777" w:rsidR="00C801FE" w:rsidRDefault="009725DC">
      <w:r>
        <w:rPr>
          <w:noProof/>
          <w:color w:val="0000FF"/>
          <w:sz w:val="24"/>
          <w:szCs w:val="24"/>
          <w:highlight w:val="white"/>
        </w:rPr>
        <w:lastRenderedPageBreak/>
        <w:drawing>
          <wp:inline distT="114300" distB="114300" distL="114300" distR="114300" wp14:anchorId="23892C4A" wp14:editId="6074E035">
            <wp:extent cx="5731200" cy="5232400"/>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5731200" cy="5232400"/>
                    </a:xfrm>
                    <a:prstGeom prst="rect">
                      <a:avLst/>
                    </a:prstGeom>
                    <a:ln/>
                  </pic:spPr>
                </pic:pic>
              </a:graphicData>
            </a:graphic>
          </wp:inline>
        </w:drawing>
      </w:r>
    </w:p>
    <w:p w14:paraId="3CE38116" w14:textId="77777777" w:rsidR="00C801FE" w:rsidRDefault="00C801FE"/>
    <w:p w14:paraId="7EDC0D18" w14:textId="77777777" w:rsidR="00C801FE" w:rsidRDefault="00C801FE"/>
    <w:p w14:paraId="5AEF4555" w14:textId="77777777" w:rsidR="00C801FE" w:rsidRDefault="009725DC">
      <w:pPr>
        <w:numPr>
          <w:ilvl w:val="0"/>
          <w:numId w:val="7"/>
        </w:numPr>
      </w:pPr>
      <w:r>
        <w:t>Jedná se o demonstraci na podporu režimu, ve které demonstranti oceňují sociální politiku polského státu.</w:t>
      </w:r>
    </w:p>
    <w:p w14:paraId="2843B236" w14:textId="77777777" w:rsidR="00C801FE" w:rsidRDefault="009725DC">
      <w:pPr>
        <w:numPr>
          <w:ilvl w:val="0"/>
          <w:numId w:val="7"/>
        </w:numPr>
      </w:pPr>
      <w:r>
        <w:t>Jedná se o protisovětskou demonstraci požadující stažení sovětských vojsk z území Polska.</w:t>
      </w:r>
    </w:p>
    <w:p w14:paraId="48187D69" w14:textId="2F6386F5" w:rsidR="00C801FE" w:rsidRDefault="009725DC">
      <w:pPr>
        <w:numPr>
          <w:ilvl w:val="0"/>
          <w:numId w:val="7"/>
        </w:numPr>
      </w:pPr>
      <w:r>
        <w:t xml:space="preserve">Jedná se o záběr z natáčení historického dramatu </w:t>
      </w:r>
      <w:r w:rsidR="71095337">
        <w:t>„</w:t>
      </w:r>
      <w:r>
        <w:t>Popel a démant</w:t>
      </w:r>
      <w:r w:rsidR="034D7FBA">
        <w:t>“</w:t>
      </w:r>
      <w:r>
        <w:t>, který pojednával o poválečném Polsku.</w:t>
      </w:r>
    </w:p>
    <w:p w14:paraId="6E8FFD08" w14:textId="278C132F" w:rsidR="00C801FE" w:rsidRDefault="009725DC">
      <w:pPr>
        <w:numPr>
          <w:ilvl w:val="0"/>
          <w:numId w:val="7"/>
        </w:numPr>
      </w:pPr>
      <w:r>
        <w:t xml:space="preserve">Jedná se o </w:t>
      </w:r>
      <w:r w:rsidR="5656F7AC">
        <w:t xml:space="preserve">jednu z </w:t>
      </w:r>
      <w:r>
        <w:t>protirežimní</w:t>
      </w:r>
      <w:r w:rsidR="626AE9B4">
        <w:t>ch</w:t>
      </w:r>
      <w:r>
        <w:t xml:space="preserve"> demonstrac</w:t>
      </w:r>
      <w:r w:rsidR="20DA7019">
        <w:t>í</w:t>
      </w:r>
      <w:r>
        <w:t xml:space="preserve">, které byly vyvolány vysokými cenami </w:t>
      </w:r>
      <w:proofErr w:type="gramStart"/>
      <w:r>
        <w:t>zboží  a</w:t>
      </w:r>
      <w:proofErr w:type="gramEnd"/>
      <w:r>
        <w:t xml:space="preserve"> malými platy dělníků.</w:t>
      </w:r>
    </w:p>
    <w:p w14:paraId="24EB1E95" w14:textId="77777777" w:rsidR="00C801FE" w:rsidRDefault="009725DC">
      <w:pPr>
        <w:numPr>
          <w:ilvl w:val="0"/>
          <w:numId w:val="7"/>
        </w:numPr>
      </w:pPr>
      <w:r>
        <w:t>Jde o momentku z nástupu dělníků na ranní směnu do městské pekárny.</w:t>
      </w:r>
    </w:p>
    <w:p w14:paraId="6B010B93" w14:textId="77777777" w:rsidR="00C801FE" w:rsidRDefault="00C801FE"/>
    <w:p w14:paraId="2225F141" w14:textId="77777777" w:rsidR="00C801FE" w:rsidRDefault="00C801FE"/>
    <w:p w14:paraId="24A4FEFD" w14:textId="1ED7F84E" w:rsidR="00C801FE" w:rsidRDefault="009725DC">
      <w:r>
        <w:t xml:space="preserve">21.2.2 Prohlédni si fotografii a urči situaci, kterou nejspíše zachycuje: </w:t>
      </w:r>
    </w:p>
    <w:p w14:paraId="68D70879" w14:textId="77777777" w:rsidR="00C801FE" w:rsidRDefault="00C801FE"/>
    <w:p w14:paraId="1C6CFE9F" w14:textId="77777777" w:rsidR="00C801FE" w:rsidRDefault="009725DC">
      <w:r>
        <w:rPr>
          <w:noProof/>
        </w:rPr>
        <w:lastRenderedPageBreak/>
        <w:drawing>
          <wp:inline distT="114300" distB="114300" distL="114300" distR="114300" wp14:anchorId="7ECA3C79" wp14:editId="2F7EEB63">
            <wp:extent cx="5731200" cy="4368800"/>
            <wp:effectExtent l="0" t="0" r="0" b="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5731200" cy="4368800"/>
                    </a:xfrm>
                    <a:prstGeom prst="rect">
                      <a:avLst/>
                    </a:prstGeom>
                    <a:ln/>
                  </pic:spPr>
                </pic:pic>
              </a:graphicData>
            </a:graphic>
          </wp:inline>
        </w:drawing>
      </w:r>
    </w:p>
    <w:p w14:paraId="1C70EC7C" w14:textId="77777777" w:rsidR="00C801FE" w:rsidRDefault="00C801FE"/>
    <w:p w14:paraId="332D18E7" w14:textId="77777777" w:rsidR="00C801FE" w:rsidRDefault="00C801FE"/>
    <w:p w14:paraId="6421372C" w14:textId="77777777" w:rsidR="00C801FE" w:rsidRDefault="009725DC">
      <w:pPr>
        <w:numPr>
          <w:ilvl w:val="0"/>
          <w:numId w:val="12"/>
        </w:numPr>
      </w:pPr>
      <w:r>
        <w:t>Svržení pomníku Stalina na pražské Letné v roce 1963.</w:t>
      </w:r>
    </w:p>
    <w:p w14:paraId="694E8A58" w14:textId="012ACFA6" w:rsidR="00C801FE" w:rsidRDefault="009725DC">
      <w:pPr>
        <w:numPr>
          <w:ilvl w:val="0"/>
          <w:numId w:val="12"/>
        </w:numPr>
      </w:pPr>
      <w:r>
        <w:t>Přípravné práce na instalaci Stalinovy sochy v Praze v roce 1953</w:t>
      </w:r>
      <w:r w:rsidR="2336E75C">
        <w:t>.</w:t>
      </w:r>
    </w:p>
    <w:p w14:paraId="051E3960" w14:textId="77777777" w:rsidR="00C801FE" w:rsidRDefault="009725DC">
      <w:pPr>
        <w:numPr>
          <w:ilvl w:val="0"/>
          <w:numId w:val="12"/>
        </w:numPr>
      </w:pPr>
      <w:r>
        <w:t>Scénu z Budapešti v roce 1956.</w:t>
      </w:r>
    </w:p>
    <w:p w14:paraId="738BBE76" w14:textId="77777777" w:rsidR="00C801FE" w:rsidRDefault="009725DC">
      <w:pPr>
        <w:numPr>
          <w:ilvl w:val="0"/>
          <w:numId w:val="12"/>
        </w:numPr>
      </w:pPr>
      <w:r>
        <w:t>Diskusi o tom, zda má být vztyčena socha Stalina na Rudém náměstí v Moskvě v roce 1956.</w:t>
      </w:r>
    </w:p>
    <w:p w14:paraId="5316A39C" w14:textId="77777777" w:rsidR="00C801FE" w:rsidRDefault="009725DC">
      <w:pPr>
        <w:numPr>
          <w:ilvl w:val="0"/>
          <w:numId w:val="12"/>
        </w:numPr>
      </w:pPr>
      <w:r>
        <w:t>Stavbu barikády v pražských Holešovicích v květnu 1945.</w:t>
      </w:r>
    </w:p>
    <w:p w14:paraId="268F837F" w14:textId="77777777" w:rsidR="00C801FE" w:rsidRDefault="00C801FE"/>
    <w:p w14:paraId="6AB46139" w14:textId="77777777" w:rsidR="00C801FE" w:rsidRDefault="00C801FE"/>
    <w:p w14:paraId="2502A97E" w14:textId="77777777" w:rsidR="00C801FE" w:rsidRDefault="00C801FE"/>
    <w:p w14:paraId="722CFBD2" w14:textId="088C219A" w:rsidR="00C801FE" w:rsidRDefault="009725DC" w:rsidP="47F540EC">
      <w:pPr>
        <w:rPr>
          <w:b/>
          <w:bCs/>
          <w:u w:val="single"/>
        </w:rPr>
      </w:pPr>
      <w:r w:rsidRPr="11D8CDF4">
        <w:rPr>
          <w:b/>
          <w:bCs/>
          <w:u w:val="single"/>
        </w:rPr>
        <w:t xml:space="preserve">21.3 Komplexní úkoly vázané na </w:t>
      </w:r>
      <w:proofErr w:type="spellStart"/>
      <w:r w:rsidRPr="11D8CDF4">
        <w:rPr>
          <w:b/>
          <w:bCs/>
          <w:u w:val="single"/>
        </w:rPr>
        <w:t>metakognitivní</w:t>
      </w:r>
      <w:proofErr w:type="spellEnd"/>
      <w:r w:rsidRPr="11D8CDF4">
        <w:rPr>
          <w:b/>
          <w:bCs/>
          <w:u w:val="single"/>
        </w:rPr>
        <w:t xml:space="preserve"> dimenze myšlení a historické koncepty</w:t>
      </w:r>
    </w:p>
    <w:p w14:paraId="42C59835" w14:textId="77777777" w:rsidR="00C801FE" w:rsidRDefault="00C801FE"/>
    <w:p w14:paraId="316CF8E7" w14:textId="74C72723" w:rsidR="00C801FE" w:rsidRDefault="009725DC">
      <w:r>
        <w:t>21.3.1 Následující text je úryvkem z korespondence dvou britských diplomatů ze srpna 1953. Úředník britského ministerstva zahraničí píše britskému velvyslanci v Praze.</w:t>
      </w:r>
    </w:p>
    <w:p w14:paraId="3C9592FB" w14:textId="77777777" w:rsidR="00C801FE" w:rsidRDefault="00C801FE"/>
    <w:p w14:paraId="51347196" w14:textId="295D2D52" w:rsidR="00C801FE" w:rsidRDefault="009725DC">
      <w:r>
        <w:t>Domnívám se, že váš pohled na sovětskou politiku je příliš pesimistický, když vás dovádí až k přesvědčení, že válka mezi Východem a Západem je nevyhnutelná. Jak víte, naše zahraniční politika je ve skutečnosti založena na přesvědčení, že s trochou štěstí a odhodlání se lze zásadní válce vyhnout. Hlavní rozdíl mezi vaším pohledem a tím</w:t>
      </w:r>
      <w:r w:rsidR="3AC7A8C2">
        <w:t>,</w:t>
      </w:r>
      <w:r>
        <w:t xml:space="preserve"> který převažuje zde, spočívá ve vašem tvrzení, že sovětští představitelé </w:t>
      </w:r>
      <w:r w:rsidR="0DD120B5">
        <w:t>„</w:t>
      </w:r>
      <w:r>
        <w:t>jsou hnáni neúprosnou logikou svých vlastních skálopevných zásad</w:t>
      </w:r>
      <w:r w:rsidR="536B262D">
        <w:t>“</w:t>
      </w:r>
      <w:r>
        <w:t xml:space="preserve">. Máme za to, že tento váš přístup klade přílišný důraz na politické doktríny a nevšímá si tolik </w:t>
      </w:r>
      <w:proofErr w:type="gramStart"/>
      <w:r>
        <w:t>realistických  a</w:t>
      </w:r>
      <w:proofErr w:type="gramEnd"/>
      <w:r>
        <w:t xml:space="preserve"> nacionalistických prvků, které </w:t>
      </w:r>
      <w:r>
        <w:lastRenderedPageBreak/>
        <w:t xml:space="preserve">jsou také podstatnou součástí sovětského myšlení. Při pohledu zpět jasně vidíme, že marxistické zásady v rukou </w:t>
      </w:r>
      <w:r w:rsidR="2C6EDD8D">
        <w:t>S</w:t>
      </w:r>
      <w:r>
        <w:t>ovětů nejsou nikterak skálopevné. Nikdy se nám ani nezdálo, že by sovětští představitelé trpěli Hitlerovou patologickou obsesí realizovat předem promyšlený program za každou cenu.</w:t>
      </w:r>
    </w:p>
    <w:p w14:paraId="63F66F7E" w14:textId="77777777" w:rsidR="00C801FE" w:rsidRDefault="009725DC">
      <w:r>
        <w:t>Věříme, že sovětští představitelé jsou natolik realističtí, že si uvědomují, že případná třetí světová válka by mohla stejně tak dobře znamenat rozpad sovětského systému jako konec západní demokracie. Dokud bude mít Západ dostatečně odstrašující vojenskou sílu, aby se dalo pochybovat o sovětském vítězství, myslíme si, že sovětští vůdcové budou vyvolání světové války odkládat, ačkoli je samozřejmě možné, že se jedna nebo druhá strana rozhodne na základě špatného úsudku.</w:t>
      </w:r>
    </w:p>
    <w:p w14:paraId="0020131D" w14:textId="1BE70073" w:rsidR="00C801FE" w:rsidRDefault="009725DC">
      <w:r>
        <w:t>Západ musí jednoznačně vyhrožovat silou, ale musí jít o hrozbu defenzivní a odstrašující a nikoli větší</w:t>
      </w:r>
      <w:r w:rsidR="3B0D1128">
        <w:t>,</w:t>
      </w:r>
      <w:r>
        <w:t xml:space="preserve"> než je nezbytně nutné k dosažení převahy. </w:t>
      </w:r>
      <w:proofErr w:type="gramStart"/>
      <w:r>
        <w:t>Tváří</w:t>
      </w:r>
      <w:proofErr w:type="gramEnd"/>
      <w:r>
        <w:t xml:space="preserve"> v tvář naší neústupnosti jsou sovětští představitelé schopni učinit významné dílčí ústupky, např. v případě blokády Berlína či </w:t>
      </w:r>
      <w:r w:rsidR="13C2F520">
        <w:t>k</w:t>
      </w:r>
      <w:r>
        <w:t>orejské války.</w:t>
      </w:r>
    </w:p>
    <w:p w14:paraId="6989E6F2" w14:textId="123F18BB" w:rsidR="00C801FE" w:rsidRDefault="009725DC" w:rsidP="7825C402">
      <w:r>
        <w:t>Jiří P</w:t>
      </w:r>
      <w:r w:rsidR="5700D73F">
        <w:t>ERNES</w:t>
      </w:r>
      <w:r w:rsidR="09A0E6B3">
        <w:t>.</w:t>
      </w:r>
      <w:r>
        <w:t xml:space="preserve"> </w:t>
      </w:r>
      <w:r w:rsidRPr="11D8CDF4">
        <w:rPr>
          <w:i/>
          <w:iCs/>
        </w:rPr>
        <w:t xml:space="preserve">Zprávy z Prahy </w:t>
      </w:r>
      <w:proofErr w:type="gramStart"/>
      <w:r w:rsidRPr="11D8CDF4">
        <w:rPr>
          <w:i/>
          <w:iCs/>
        </w:rPr>
        <w:t>1953</w:t>
      </w:r>
      <w:r w:rsidR="64FF8CF2">
        <w:t xml:space="preserve"> </w:t>
      </w:r>
      <w:r>
        <w:t xml:space="preserve"> </w:t>
      </w:r>
      <w:r w:rsidR="274DA28D">
        <w:t>(</w:t>
      </w:r>
      <w:proofErr w:type="gramEnd"/>
      <w:r w:rsidR="274DA28D">
        <w:t xml:space="preserve">s. 207–208, kráceno). </w:t>
      </w:r>
      <w:r>
        <w:t>Praha</w:t>
      </w:r>
      <w:r w:rsidR="152243A5">
        <w:t>: Academia</w:t>
      </w:r>
      <w:r w:rsidR="67D04ABA">
        <w:t>,</w:t>
      </w:r>
      <w:r>
        <w:t xml:space="preserve"> 2016</w:t>
      </w:r>
      <w:r w:rsidR="21945BFE">
        <w:t>.</w:t>
      </w:r>
      <w:r>
        <w:t xml:space="preserve"> </w:t>
      </w:r>
    </w:p>
    <w:p w14:paraId="6A6DC095" w14:textId="77777777" w:rsidR="00C801FE" w:rsidRDefault="00C801FE"/>
    <w:p w14:paraId="0F820739" w14:textId="56544C84" w:rsidR="00C801FE" w:rsidRDefault="009725DC">
      <w:r>
        <w:t>21.3.1 Pokuste za pomoci myšlenkové mapy rekonstruovat</w:t>
      </w:r>
      <w:r w:rsidR="49B76209">
        <w:t>,</w:t>
      </w:r>
      <w:r>
        <w:t xml:space="preserve"> jak pisatel dopisu přemýšlel v srpnu 1953 o konfliktu mezi </w:t>
      </w:r>
      <w:r w:rsidR="39CBC45D">
        <w:t>v</w:t>
      </w:r>
      <w:r>
        <w:t xml:space="preserve">ýchodním a </w:t>
      </w:r>
      <w:r w:rsidR="705F0657">
        <w:t>z</w:t>
      </w:r>
      <w:r>
        <w:t xml:space="preserve">ápadním blokem. Využijte tyto body: ideologie a praktická politika </w:t>
      </w:r>
      <w:proofErr w:type="gramStart"/>
      <w:r>
        <w:t>( jak</w:t>
      </w:r>
      <w:proofErr w:type="gramEnd"/>
      <w:r>
        <w:t xml:space="preserve"> podle něj myslí Sověti), předpoklady zachování míru,</w:t>
      </w:r>
      <w:r w:rsidR="6F787931">
        <w:t xml:space="preserve"> </w:t>
      </w:r>
      <w:r>
        <w:t>cíle Západu, srovnání SSSR a Hitlerova Německa, rizika této situace</w:t>
      </w:r>
      <w:r w:rsidR="628B90F6">
        <w:t>.</w:t>
      </w:r>
    </w:p>
    <w:p w14:paraId="0A5BC930" w14:textId="77777777" w:rsidR="00C801FE" w:rsidRDefault="00C801FE"/>
    <w:p w14:paraId="7E41E1BE" w14:textId="77777777" w:rsidR="00C801FE" w:rsidRDefault="00C801FE"/>
    <w:p w14:paraId="407E35C7" w14:textId="0CB6F3C3" w:rsidR="00C801FE" w:rsidRDefault="009725DC">
      <w:r>
        <w:t>21.3.2</w:t>
      </w:r>
    </w:p>
    <w:p w14:paraId="44E1E198" w14:textId="57E9F45E" w:rsidR="00C801FE" w:rsidRDefault="009725DC">
      <w:r>
        <w:t xml:space="preserve">Neznámý autor v 50. letech </w:t>
      </w:r>
      <w:r w:rsidR="1EED5840">
        <w:t xml:space="preserve">20. století </w:t>
      </w:r>
      <w:r>
        <w:t xml:space="preserve">vytvořil karikaturu nazývanou většinou </w:t>
      </w:r>
      <w:r w:rsidR="02280A3C">
        <w:t>„</w:t>
      </w:r>
      <w:r>
        <w:t>Perspektivy studené války</w:t>
      </w:r>
      <w:r w:rsidR="617A7CD4">
        <w:t>“.</w:t>
      </w:r>
      <w:r>
        <w:t xml:space="preserve"> Pokuste se na základě svých znalostí o studené válce o popis této karikatury a názoru autora na to, jak se na sebe navzájem díval</w:t>
      </w:r>
      <w:r w:rsidR="3483F4C7">
        <w:t>y</w:t>
      </w:r>
      <w:r>
        <w:t xml:space="preserve"> USA a SSSR a co bylo podle něj příčinou studené války.</w:t>
      </w:r>
    </w:p>
    <w:p w14:paraId="289856F1" w14:textId="77777777" w:rsidR="00C801FE" w:rsidRDefault="009725DC">
      <w:r>
        <w:rPr>
          <w:noProof/>
        </w:rPr>
        <w:drawing>
          <wp:inline distT="114300" distB="114300" distL="114300" distR="114300" wp14:anchorId="33191181" wp14:editId="63C141DA">
            <wp:extent cx="5731200" cy="302260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731200" cy="3022600"/>
                    </a:xfrm>
                    <a:prstGeom prst="rect">
                      <a:avLst/>
                    </a:prstGeom>
                    <a:ln/>
                  </pic:spPr>
                </pic:pic>
              </a:graphicData>
            </a:graphic>
          </wp:inline>
        </w:drawing>
      </w:r>
    </w:p>
    <w:p w14:paraId="774C2367" w14:textId="77777777" w:rsidR="00C801FE" w:rsidRDefault="00000000">
      <w:hyperlink r:id="rId13">
        <w:r w:rsidR="009725DC">
          <w:rPr>
            <w:color w:val="1155CC"/>
            <w:u w:val="single"/>
          </w:rPr>
          <w:t>https://www.semanticscholar.org/paper/Russia-Foreign-Policy-in-Latin-America-Case-Study-Watier/b01e1c368f1e7884d414779304c33df4d45ab466/figure/0</w:t>
        </w:r>
      </w:hyperlink>
      <w:r w:rsidR="009725DC">
        <w:t xml:space="preserve"> </w:t>
      </w:r>
    </w:p>
    <w:p w14:paraId="3EF72E0A" w14:textId="77777777" w:rsidR="00C801FE" w:rsidRDefault="00C801FE"/>
    <w:p w14:paraId="2BAE06C8" w14:textId="77777777" w:rsidR="00C801FE" w:rsidRDefault="00C801FE"/>
    <w:p w14:paraId="4E46F5A1" w14:textId="77777777" w:rsidR="00C801FE" w:rsidRDefault="00C801FE"/>
    <w:p w14:paraId="134A0C90" w14:textId="77777777" w:rsidR="00C801FE" w:rsidRDefault="00C801FE"/>
    <w:p w14:paraId="341E33CB" w14:textId="77777777" w:rsidR="00C801FE" w:rsidRDefault="009725DC">
      <w:pPr>
        <w:rPr>
          <w:b/>
          <w:sz w:val="30"/>
          <w:szCs w:val="30"/>
          <w:u w:val="single"/>
        </w:rPr>
      </w:pPr>
      <w:r>
        <w:rPr>
          <w:b/>
          <w:sz w:val="30"/>
          <w:szCs w:val="30"/>
          <w:u w:val="single"/>
        </w:rPr>
        <w:t>Vyhodnocení úloh, citace zdrojů, komentáře</w:t>
      </w:r>
    </w:p>
    <w:p w14:paraId="05B5CED6" w14:textId="77777777" w:rsidR="00C801FE" w:rsidRDefault="00C801FE"/>
    <w:p w14:paraId="2ACCA449" w14:textId="77777777" w:rsidR="00C801FE" w:rsidRDefault="00C801FE"/>
    <w:tbl>
      <w:tblPr>
        <w:tblStyle w:val="a"/>
        <w:tblW w:w="90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500"/>
      </w:tblGrid>
      <w:tr w:rsidR="00C801FE" w14:paraId="20C46EBF" w14:textId="77777777" w:rsidTr="11D8CDF4">
        <w:tc>
          <w:tcPr>
            <w:tcW w:w="1500" w:type="dxa"/>
            <w:shd w:val="clear" w:color="auto" w:fill="auto"/>
            <w:tcMar>
              <w:top w:w="100" w:type="dxa"/>
              <w:left w:w="100" w:type="dxa"/>
              <w:bottom w:w="100" w:type="dxa"/>
              <w:right w:w="100" w:type="dxa"/>
            </w:tcMar>
          </w:tcPr>
          <w:p w14:paraId="0F6C4339" w14:textId="5C71D9D9" w:rsidR="00C801FE" w:rsidRDefault="009725DC">
            <w:pPr>
              <w:widowControl w:val="0"/>
              <w:spacing w:line="240" w:lineRule="auto"/>
            </w:pPr>
            <w:r>
              <w:t>21.1.1</w:t>
            </w:r>
          </w:p>
        </w:tc>
        <w:tc>
          <w:tcPr>
            <w:tcW w:w="7500" w:type="dxa"/>
            <w:shd w:val="clear" w:color="auto" w:fill="auto"/>
            <w:tcMar>
              <w:top w:w="100" w:type="dxa"/>
              <w:left w:w="100" w:type="dxa"/>
              <w:bottom w:w="100" w:type="dxa"/>
              <w:right w:w="100" w:type="dxa"/>
            </w:tcMar>
          </w:tcPr>
          <w:p w14:paraId="475B9DE0" w14:textId="77777777" w:rsidR="00C801FE" w:rsidRDefault="009725DC">
            <w:r>
              <w:t>A</w:t>
            </w:r>
          </w:p>
        </w:tc>
      </w:tr>
      <w:tr w:rsidR="00C801FE" w14:paraId="616099DF" w14:textId="77777777" w:rsidTr="11D8CDF4">
        <w:tc>
          <w:tcPr>
            <w:tcW w:w="1500" w:type="dxa"/>
            <w:shd w:val="clear" w:color="auto" w:fill="auto"/>
            <w:tcMar>
              <w:top w:w="100" w:type="dxa"/>
              <w:left w:w="100" w:type="dxa"/>
              <w:bottom w:w="100" w:type="dxa"/>
              <w:right w:w="100" w:type="dxa"/>
            </w:tcMar>
          </w:tcPr>
          <w:p w14:paraId="2AD95D18" w14:textId="6603CD6E" w:rsidR="00C801FE" w:rsidRDefault="009725DC">
            <w:pPr>
              <w:widowControl w:val="0"/>
              <w:spacing w:line="240" w:lineRule="auto"/>
            </w:pPr>
            <w:r>
              <w:t>21.1.2</w:t>
            </w:r>
          </w:p>
        </w:tc>
        <w:tc>
          <w:tcPr>
            <w:tcW w:w="7500" w:type="dxa"/>
            <w:shd w:val="clear" w:color="auto" w:fill="auto"/>
            <w:tcMar>
              <w:top w:w="100" w:type="dxa"/>
              <w:left w:w="100" w:type="dxa"/>
              <w:bottom w:w="100" w:type="dxa"/>
              <w:right w:w="100" w:type="dxa"/>
            </w:tcMar>
          </w:tcPr>
          <w:p w14:paraId="6FD53509" w14:textId="77777777" w:rsidR="00C801FE" w:rsidRDefault="009725DC">
            <w:pPr>
              <w:widowControl w:val="0"/>
              <w:spacing w:line="240" w:lineRule="auto"/>
            </w:pPr>
            <w:r>
              <w:t>B</w:t>
            </w:r>
          </w:p>
        </w:tc>
      </w:tr>
      <w:tr w:rsidR="00C801FE" w14:paraId="075DB03C" w14:textId="77777777" w:rsidTr="11D8CDF4">
        <w:tc>
          <w:tcPr>
            <w:tcW w:w="1500" w:type="dxa"/>
            <w:shd w:val="clear" w:color="auto" w:fill="auto"/>
            <w:tcMar>
              <w:top w:w="100" w:type="dxa"/>
              <w:left w:w="100" w:type="dxa"/>
              <w:bottom w:w="100" w:type="dxa"/>
              <w:right w:w="100" w:type="dxa"/>
            </w:tcMar>
          </w:tcPr>
          <w:p w14:paraId="51FBE6BD" w14:textId="3A823974" w:rsidR="00C801FE" w:rsidRDefault="009725DC">
            <w:pPr>
              <w:widowControl w:val="0"/>
              <w:spacing w:line="240" w:lineRule="auto"/>
            </w:pPr>
            <w:r>
              <w:t>21.2.1</w:t>
            </w:r>
          </w:p>
        </w:tc>
        <w:tc>
          <w:tcPr>
            <w:tcW w:w="7500" w:type="dxa"/>
            <w:shd w:val="clear" w:color="auto" w:fill="auto"/>
            <w:tcMar>
              <w:top w:w="100" w:type="dxa"/>
              <w:left w:w="100" w:type="dxa"/>
              <w:bottom w:w="100" w:type="dxa"/>
              <w:right w:w="100" w:type="dxa"/>
            </w:tcMar>
          </w:tcPr>
          <w:p w14:paraId="47CFBB9F" w14:textId="77777777" w:rsidR="00C801FE" w:rsidRDefault="009725DC">
            <w:pPr>
              <w:widowControl w:val="0"/>
              <w:spacing w:line="240" w:lineRule="auto"/>
            </w:pPr>
            <w:r>
              <w:t>D</w:t>
            </w:r>
          </w:p>
        </w:tc>
      </w:tr>
      <w:tr w:rsidR="00C801FE" w14:paraId="4861AFBC" w14:textId="77777777" w:rsidTr="11D8CDF4">
        <w:tc>
          <w:tcPr>
            <w:tcW w:w="1500" w:type="dxa"/>
            <w:shd w:val="clear" w:color="auto" w:fill="auto"/>
            <w:tcMar>
              <w:top w:w="100" w:type="dxa"/>
              <w:left w:w="100" w:type="dxa"/>
              <w:bottom w:w="100" w:type="dxa"/>
              <w:right w:w="100" w:type="dxa"/>
            </w:tcMar>
          </w:tcPr>
          <w:p w14:paraId="303EAFBC" w14:textId="491A7C23" w:rsidR="00C801FE" w:rsidRDefault="009725DC">
            <w:pPr>
              <w:widowControl w:val="0"/>
              <w:spacing w:line="240" w:lineRule="auto"/>
            </w:pPr>
            <w:r>
              <w:t>21.2.2</w:t>
            </w:r>
          </w:p>
        </w:tc>
        <w:tc>
          <w:tcPr>
            <w:tcW w:w="7500" w:type="dxa"/>
            <w:shd w:val="clear" w:color="auto" w:fill="auto"/>
            <w:tcMar>
              <w:top w:w="100" w:type="dxa"/>
              <w:left w:w="100" w:type="dxa"/>
              <w:bottom w:w="100" w:type="dxa"/>
              <w:right w:w="100" w:type="dxa"/>
            </w:tcMar>
          </w:tcPr>
          <w:p w14:paraId="6FE89324" w14:textId="77777777" w:rsidR="00C801FE" w:rsidRDefault="009725DC">
            <w:r>
              <w:t>C</w:t>
            </w:r>
          </w:p>
        </w:tc>
      </w:tr>
      <w:tr w:rsidR="00C801FE" w14:paraId="6EDC4E4B" w14:textId="77777777" w:rsidTr="11D8CDF4">
        <w:tc>
          <w:tcPr>
            <w:tcW w:w="1500" w:type="dxa"/>
            <w:shd w:val="clear" w:color="auto" w:fill="auto"/>
            <w:tcMar>
              <w:top w:w="100" w:type="dxa"/>
              <w:left w:w="100" w:type="dxa"/>
              <w:bottom w:w="100" w:type="dxa"/>
              <w:right w:w="100" w:type="dxa"/>
            </w:tcMar>
          </w:tcPr>
          <w:p w14:paraId="669F8940" w14:textId="084AF99E" w:rsidR="00C801FE" w:rsidRDefault="009725DC">
            <w:pPr>
              <w:widowControl w:val="0"/>
              <w:spacing w:line="240" w:lineRule="auto"/>
            </w:pPr>
            <w:r>
              <w:t>21.3.1</w:t>
            </w:r>
          </w:p>
        </w:tc>
        <w:tc>
          <w:tcPr>
            <w:tcW w:w="7500" w:type="dxa"/>
            <w:shd w:val="clear" w:color="auto" w:fill="auto"/>
            <w:tcMar>
              <w:top w:w="100" w:type="dxa"/>
              <w:left w:w="100" w:type="dxa"/>
              <w:bottom w:w="100" w:type="dxa"/>
              <w:right w:w="100" w:type="dxa"/>
            </w:tcMar>
          </w:tcPr>
          <w:p w14:paraId="116140CF" w14:textId="77777777" w:rsidR="00C801FE" w:rsidRDefault="009725DC">
            <w:r>
              <w:t xml:space="preserve">Např: </w:t>
            </w:r>
          </w:p>
          <w:p w14:paraId="5AFFEF88" w14:textId="1357307C" w:rsidR="00C801FE" w:rsidRDefault="009725DC">
            <w:pPr>
              <w:numPr>
                <w:ilvl w:val="0"/>
                <w:numId w:val="4"/>
              </w:numPr>
            </w:pPr>
            <w:r>
              <w:t xml:space="preserve">ideologie není totéž co praktická politika </w:t>
            </w:r>
            <w:r w:rsidR="0CE435BE">
              <w:t>–</w:t>
            </w:r>
            <w:r>
              <w:t xml:space="preserve"> realismus, nacionalismus</w:t>
            </w:r>
          </w:p>
          <w:p w14:paraId="2795264D" w14:textId="2D259995" w:rsidR="00C801FE" w:rsidRDefault="009725DC">
            <w:pPr>
              <w:numPr>
                <w:ilvl w:val="0"/>
                <w:numId w:val="4"/>
              </w:numPr>
            </w:pPr>
            <w:r>
              <w:t>předpoklady míru: rovnováha sil, zastrašování Sovětů, racionalismus na obou</w:t>
            </w:r>
            <w:r w:rsidR="61AE1708">
              <w:t xml:space="preserve"> </w:t>
            </w:r>
            <w:r>
              <w:t>stranách</w:t>
            </w:r>
          </w:p>
          <w:p w14:paraId="1FEB0F0C" w14:textId="77777777" w:rsidR="00C801FE" w:rsidRDefault="009725DC">
            <w:pPr>
              <w:numPr>
                <w:ilvl w:val="0"/>
                <w:numId w:val="4"/>
              </w:numPr>
            </w:pPr>
            <w:r>
              <w:t>cíle Západu: neprovokovat, nedávat ultimáta, stát si pevně za svým, být jednotní, trpělivě čekat</w:t>
            </w:r>
          </w:p>
          <w:p w14:paraId="17AD063F" w14:textId="246E5C4D" w:rsidR="00C801FE" w:rsidRDefault="009725DC">
            <w:pPr>
              <w:numPr>
                <w:ilvl w:val="0"/>
                <w:numId w:val="4"/>
              </w:numPr>
            </w:pPr>
            <w:r>
              <w:t xml:space="preserve">srovnání SSSR a Hitlerova </w:t>
            </w:r>
            <w:r w:rsidR="45E3CFAB">
              <w:t>N</w:t>
            </w:r>
            <w:r>
              <w:t>ěmecka: SSSR (Stalin) je více realistický, méně podléhá ideologii</w:t>
            </w:r>
          </w:p>
          <w:p w14:paraId="63D54BEB" w14:textId="77777777" w:rsidR="00C801FE" w:rsidRDefault="009725DC">
            <w:pPr>
              <w:numPr>
                <w:ilvl w:val="0"/>
                <w:numId w:val="4"/>
              </w:numPr>
            </w:pPr>
            <w:r>
              <w:t>rizika: špatný úsudek, selhání lidského faktoru</w:t>
            </w:r>
          </w:p>
          <w:p w14:paraId="08CE5695" w14:textId="77777777" w:rsidR="00C801FE" w:rsidRDefault="00C801FE"/>
        </w:tc>
      </w:tr>
      <w:tr w:rsidR="00C801FE" w14:paraId="2878E9FA" w14:textId="77777777" w:rsidTr="11D8CDF4">
        <w:tc>
          <w:tcPr>
            <w:tcW w:w="1500" w:type="dxa"/>
            <w:shd w:val="clear" w:color="auto" w:fill="auto"/>
            <w:tcMar>
              <w:top w:w="100" w:type="dxa"/>
              <w:left w:w="100" w:type="dxa"/>
              <w:bottom w:w="100" w:type="dxa"/>
              <w:right w:w="100" w:type="dxa"/>
            </w:tcMar>
          </w:tcPr>
          <w:p w14:paraId="14B48DFB" w14:textId="04370352" w:rsidR="00C801FE" w:rsidRDefault="009725DC">
            <w:pPr>
              <w:widowControl w:val="0"/>
              <w:spacing w:line="240" w:lineRule="auto"/>
            </w:pPr>
            <w:r>
              <w:t>21.3.2</w:t>
            </w:r>
          </w:p>
        </w:tc>
        <w:tc>
          <w:tcPr>
            <w:tcW w:w="7500" w:type="dxa"/>
            <w:shd w:val="clear" w:color="auto" w:fill="auto"/>
            <w:tcMar>
              <w:top w:w="100" w:type="dxa"/>
              <w:left w:w="100" w:type="dxa"/>
              <w:bottom w:w="100" w:type="dxa"/>
              <w:right w:w="100" w:type="dxa"/>
            </w:tcMar>
          </w:tcPr>
          <w:p w14:paraId="6DB79E0A" w14:textId="77777777" w:rsidR="00C801FE" w:rsidRDefault="009725DC">
            <w:pPr>
              <w:widowControl w:val="0"/>
              <w:spacing w:line="240" w:lineRule="auto"/>
            </w:pPr>
            <w:r>
              <w:t xml:space="preserve">Např: </w:t>
            </w:r>
          </w:p>
          <w:p w14:paraId="3836C6E4" w14:textId="4D491CF2" w:rsidR="00C801FE" w:rsidRDefault="3263F1CF">
            <w:pPr>
              <w:widowControl w:val="0"/>
              <w:numPr>
                <w:ilvl w:val="0"/>
                <w:numId w:val="11"/>
              </w:numPr>
              <w:spacing w:line="240" w:lineRule="auto"/>
            </w:pPr>
            <w:r>
              <w:t>J</w:t>
            </w:r>
            <w:r w:rsidR="009725DC">
              <w:t>edním z problémů studené války bylo, že Západ si myslel, že jej ohrožuje Východ, ale zároveň Východ si myslel</w:t>
            </w:r>
            <w:r w:rsidR="659F8BEC">
              <w:t>,</w:t>
            </w:r>
            <w:r w:rsidR="009725DC">
              <w:t xml:space="preserve"> že jej ohrožuje Západ. Vzájemná paranoia prohlubovala konflikt</w:t>
            </w:r>
            <w:r w:rsidR="06392D84">
              <w:t>.</w:t>
            </w:r>
          </w:p>
        </w:tc>
      </w:tr>
    </w:tbl>
    <w:p w14:paraId="50D21F58" w14:textId="77777777" w:rsidR="00C801FE" w:rsidRDefault="00C801FE"/>
    <w:sectPr w:rsidR="00C801FE">
      <w:headerReference w:type="defaul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B931" w14:textId="77777777" w:rsidR="00FC6A98" w:rsidRDefault="00FC6A98" w:rsidP="00F0150B">
      <w:pPr>
        <w:spacing w:line="240" w:lineRule="auto"/>
      </w:pPr>
      <w:r>
        <w:separator/>
      </w:r>
    </w:p>
  </w:endnote>
  <w:endnote w:type="continuationSeparator" w:id="0">
    <w:p w14:paraId="21E84072" w14:textId="77777777" w:rsidR="00FC6A98" w:rsidRDefault="00FC6A98" w:rsidP="00F01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49C8" w14:textId="77777777" w:rsidR="00FC6A98" w:rsidRDefault="00FC6A98" w:rsidP="00F0150B">
      <w:pPr>
        <w:spacing w:line="240" w:lineRule="auto"/>
      </w:pPr>
      <w:r>
        <w:separator/>
      </w:r>
    </w:p>
  </w:footnote>
  <w:footnote w:type="continuationSeparator" w:id="0">
    <w:p w14:paraId="3AD7E7C3" w14:textId="77777777" w:rsidR="00FC6A98" w:rsidRDefault="00FC6A98" w:rsidP="00F01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1A19" w14:textId="5F164057" w:rsidR="00324B90" w:rsidRDefault="00324B90" w:rsidP="00324B90">
    <w:pPr>
      <w:pStyle w:val="Zhlav"/>
    </w:pPr>
    <w:r>
      <w:t xml:space="preserve">Blok 5, Lekce 21 </w:t>
    </w:r>
    <w:r>
      <w:tab/>
    </w:r>
    <w:r>
      <w:tab/>
    </w:r>
    <w:r>
      <w:t>Vývoj a krize východního bloku</w:t>
    </w:r>
  </w:p>
  <w:p w14:paraId="2384650C" w14:textId="1E93ECA7" w:rsidR="00F0150B" w:rsidRPr="00324B90" w:rsidRDefault="00324B90" w:rsidP="00324B90">
    <w:pPr>
      <w:pStyle w:val="Zhlav"/>
    </w:pPr>
    <w:r>
      <w:t>Evaluace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A3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50BFE"/>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0C7D42"/>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5D209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6427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2E7CA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665F65"/>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F077F3"/>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FA6B18"/>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E5719C1"/>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1F455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8477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1F797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AC4492"/>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714B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F54202"/>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2985592">
    <w:abstractNumId w:val="6"/>
  </w:num>
  <w:num w:numId="2" w16cid:durableId="1153908322">
    <w:abstractNumId w:val="3"/>
  </w:num>
  <w:num w:numId="3" w16cid:durableId="1948272895">
    <w:abstractNumId w:val="0"/>
  </w:num>
  <w:num w:numId="4" w16cid:durableId="901645372">
    <w:abstractNumId w:val="14"/>
  </w:num>
  <w:num w:numId="5" w16cid:durableId="62728763">
    <w:abstractNumId w:val="7"/>
  </w:num>
  <w:num w:numId="6" w16cid:durableId="527329787">
    <w:abstractNumId w:val="5"/>
  </w:num>
  <w:num w:numId="7" w16cid:durableId="1730303341">
    <w:abstractNumId w:val="15"/>
  </w:num>
  <w:num w:numId="8" w16cid:durableId="793718664">
    <w:abstractNumId w:val="2"/>
  </w:num>
  <w:num w:numId="9" w16cid:durableId="760220864">
    <w:abstractNumId w:val="4"/>
  </w:num>
  <w:num w:numId="10" w16cid:durableId="138688820">
    <w:abstractNumId w:val="10"/>
  </w:num>
  <w:num w:numId="11" w16cid:durableId="467631490">
    <w:abstractNumId w:val="11"/>
  </w:num>
  <w:num w:numId="12" w16cid:durableId="808060049">
    <w:abstractNumId w:val="1"/>
  </w:num>
  <w:num w:numId="13" w16cid:durableId="737168622">
    <w:abstractNumId w:val="8"/>
  </w:num>
  <w:num w:numId="14" w16cid:durableId="918560924">
    <w:abstractNumId w:val="13"/>
  </w:num>
  <w:num w:numId="15" w16cid:durableId="271130144">
    <w:abstractNumId w:val="12"/>
  </w:num>
  <w:num w:numId="16" w16cid:durableId="2108847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FE"/>
    <w:rsid w:val="00324B90"/>
    <w:rsid w:val="003596A7"/>
    <w:rsid w:val="006076DE"/>
    <w:rsid w:val="0060DDF2"/>
    <w:rsid w:val="00962337"/>
    <w:rsid w:val="009725DC"/>
    <w:rsid w:val="009B9A0B"/>
    <w:rsid w:val="00AC0464"/>
    <w:rsid w:val="00C801FE"/>
    <w:rsid w:val="00E6AA1D"/>
    <w:rsid w:val="00F0150B"/>
    <w:rsid w:val="00FC6A98"/>
    <w:rsid w:val="00FF2D8B"/>
    <w:rsid w:val="02280A3C"/>
    <w:rsid w:val="02987083"/>
    <w:rsid w:val="02FEEF40"/>
    <w:rsid w:val="034023CC"/>
    <w:rsid w:val="034D7FBA"/>
    <w:rsid w:val="039311B5"/>
    <w:rsid w:val="03DB5058"/>
    <w:rsid w:val="03E70B3A"/>
    <w:rsid w:val="0513885E"/>
    <w:rsid w:val="0573EF3E"/>
    <w:rsid w:val="06392D84"/>
    <w:rsid w:val="06A9A226"/>
    <w:rsid w:val="07278AC4"/>
    <w:rsid w:val="07359F36"/>
    <w:rsid w:val="08D522DC"/>
    <w:rsid w:val="090A4A52"/>
    <w:rsid w:val="09A0E6B3"/>
    <w:rsid w:val="0A0C5DA1"/>
    <w:rsid w:val="0B4A8950"/>
    <w:rsid w:val="0B94AEAB"/>
    <w:rsid w:val="0BCBB1CC"/>
    <w:rsid w:val="0BF39B41"/>
    <w:rsid w:val="0C0976FC"/>
    <w:rsid w:val="0C2A5749"/>
    <w:rsid w:val="0C7CE009"/>
    <w:rsid w:val="0CE435BE"/>
    <w:rsid w:val="0D0A1514"/>
    <w:rsid w:val="0DD120B5"/>
    <w:rsid w:val="0DDAEE56"/>
    <w:rsid w:val="0E08DAE2"/>
    <w:rsid w:val="0E54EF1A"/>
    <w:rsid w:val="0EE38E20"/>
    <w:rsid w:val="0F14AEEF"/>
    <w:rsid w:val="0F342F69"/>
    <w:rsid w:val="10CA634E"/>
    <w:rsid w:val="119D58D1"/>
    <w:rsid w:val="11AED3F9"/>
    <w:rsid w:val="11C29AEF"/>
    <w:rsid w:val="11D8CDF4"/>
    <w:rsid w:val="12D1E771"/>
    <w:rsid w:val="12FBA952"/>
    <w:rsid w:val="130193C7"/>
    <w:rsid w:val="13128541"/>
    <w:rsid w:val="1327E070"/>
    <w:rsid w:val="133E092A"/>
    <w:rsid w:val="1368BB52"/>
    <w:rsid w:val="13C2F520"/>
    <w:rsid w:val="14DD866E"/>
    <w:rsid w:val="150CD8DF"/>
    <w:rsid w:val="152243A5"/>
    <w:rsid w:val="155F39FF"/>
    <w:rsid w:val="15BC008C"/>
    <w:rsid w:val="15D46B53"/>
    <w:rsid w:val="1653769A"/>
    <w:rsid w:val="16D45C88"/>
    <w:rsid w:val="17A4B68D"/>
    <w:rsid w:val="18970211"/>
    <w:rsid w:val="18CC51B7"/>
    <w:rsid w:val="19E3485D"/>
    <w:rsid w:val="1ACF4A54"/>
    <w:rsid w:val="1AE246CE"/>
    <w:rsid w:val="1B1C6A81"/>
    <w:rsid w:val="1BA75B91"/>
    <w:rsid w:val="1BD844A8"/>
    <w:rsid w:val="1BDDD367"/>
    <w:rsid w:val="1E301F5A"/>
    <w:rsid w:val="1E540B43"/>
    <w:rsid w:val="1E802A02"/>
    <w:rsid w:val="1E959F1A"/>
    <w:rsid w:val="1E99525F"/>
    <w:rsid w:val="1EED5840"/>
    <w:rsid w:val="1F093098"/>
    <w:rsid w:val="1F7ECCF3"/>
    <w:rsid w:val="1FBECA06"/>
    <w:rsid w:val="201BFA63"/>
    <w:rsid w:val="209EC727"/>
    <w:rsid w:val="20DA7019"/>
    <w:rsid w:val="20F36333"/>
    <w:rsid w:val="2167C01C"/>
    <w:rsid w:val="21945BFE"/>
    <w:rsid w:val="21B7CAC4"/>
    <w:rsid w:val="2217BB10"/>
    <w:rsid w:val="229DEAFD"/>
    <w:rsid w:val="22BB28CD"/>
    <w:rsid w:val="22EE21FA"/>
    <w:rsid w:val="2336E75C"/>
    <w:rsid w:val="235B66BD"/>
    <w:rsid w:val="23C81CC2"/>
    <w:rsid w:val="24A3FE47"/>
    <w:rsid w:val="24D71362"/>
    <w:rsid w:val="24D8DE72"/>
    <w:rsid w:val="24EB85A2"/>
    <w:rsid w:val="25273827"/>
    <w:rsid w:val="261DCE6A"/>
    <w:rsid w:val="2674AED3"/>
    <w:rsid w:val="2679A7CA"/>
    <w:rsid w:val="274DA28D"/>
    <w:rsid w:val="276F76A5"/>
    <w:rsid w:val="27B50C64"/>
    <w:rsid w:val="27F2FD67"/>
    <w:rsid w:val="28026B8B"/>
    <w:rsid w:val="28371FAC"/>
    <w:rsid w:val="283A652A"/>
    <w:rsid w:val="288448D7"/>
    <w:rsid w:val="2911DF25"/>
    <w:rsid w:val="2B5EAD0A"/>
    <w:rsid w:val="2BAA40A1"/>
    <w:rsid w:val="2BD64DDC"/>
    <w:rsid w:val="2C6EDD8D"/>
    <w:rsid w:val="2D9770A6"/>
    <w:rsid w:val="2E82F4E0"/>
    <w:rsid w:val="2ED20347"/>
    <w:rsid w:val="2F027C81"/>
    <w:rsid w:val="2F7E9383"/>
    <w:rsid w:val="30DABD88"/>
    <w:rsid w:val="315C9D28"/>
    <w:rsid w:val="316958F2"/>
    <w:rsid w:val="31D5DC14"/>
    <w:rsid w:val="320AD27D"/>
    <w:rsid w:val="3263F1CF"/>
    <w:rsid w:val="342CE92F"/>
    <w:rsid w:val="3442DB63"/>
    <w:rsid w:val="345B943C"/>
    <w:rsid w:val="3483F4C7"/>
    <w:rsid w:val="34DDEF4B"/>
    <w:rsid w:val="34E15E17"/>
    <w:rsid w:val="3521E32B"/>
    <w:rsid w:val="35514C58"/>
    <w:rsid w:val="35B40B27"/>
    <w:rsid w:val="35BBBCC3"/>
    <w:rsid w:val="3698E646"/>
    <w:rsid w:val="377081E7"/>
    <w:rsid w:val="37B2B64F"/>
    <w:rsid w:val="382E9084"/>
    <w:rsid w:val="385F9FE2"/>
    <w:rsid w:val="38936D6B"/>
    <w:rsid w:val="38AB7CBE"/>
    <w:rsid w:val="3909D1AB"/>
    <w:rsid w:val="390BD6D9"/>
    <w:rsid w:val="39105F97"/>
    <w:rsid w:val="391ADD46"/>
    <w:rsid w:val="3938F60B"/>
    <w:rsid w:val="3960D3C8"/>
    <w:rsid w:val="39CBC45D"/>
    <w:rsid w:val="39F5EC3F"/>
    <w:rsid w:val="39F92D68"/>
    <w:rsid w:val="3AC7A8C2"/>
    <w:rsid w:val="3AFC1EC8"/>
    <w:rsid w:val="3B0D1128"/>
    <w:rsid w:val="3B8623A5"/>
    <w:rsid w:val="3CAF5BB6"/>
    <w:rsid w:val="3CF43971"/>
    <w:rsid w:val="3D0078DE"/>
    <w:rsid w:val="3D9D67C5"/>
    <w:rsid w:val="3E17EA1B"/>
    <w:rsid w:val="3F4718DB"/>
    <w:rsid w:val="3FE6FC78"/>
    <w:rsid w:val="400F9A2D"/>
    <w:rsid w:val="407954C0"/>
    <w:rsid w:val="40B0D9A5"/>
    <w:rsid w:val="41CEC468"/>
    <w:rsid w:val="4320F18A"/>
    <w:rsid w:val="4326F9FF"/>
    <w:rsid w:val="43747B66"/>
    <w:rsid w:val="43B2663D"/>
    <w:rsid w:val="44364C16"/>
    <w:rsid w:val="44D60723"/>
    <w:rsid w:val="45E3CFAB"/>
    <w:rsid w:val="466D3FE4"/>
    <w:rsid w:val="47CE31AB"/>
    <w:rsid w:val="47F540EC"/>
    <w:rsid w:val="48518FBD"/>
    <w:rsid w:val="48B8282C"/>
    <w:rsid w:val="48BEF1FC"/>
    <w:rsid w:val="48FFA5D7"/>
    <w:rsid w:val="4917EDC6"/>
    <w:rsid w:val="495A56E7"/>
    <w:rsid w:val="49B76209"/>
    <w:rsid w:val="4A439EAE"/>
    <w:rsid w:val="4A4CF412"/>
    <w:rsid w:val="4A4E9AA6"/>
    <w:rsid w:val="4A8DBDE5"/>
    <w:rsid w:val="4AB1D627"/>
    <w:rsid w:val="4B3E26C2"/>
    <w:rsid w:val="4B6454F3"/>
    <w:rsid w:val="4CC1B01E"/>
    <w:rsid w:val="4D595227"/>
    <w:rsid w:val="4DAB9E09"/>
    <w:rsid w:val="4DDE2B31"/>
    <w:rsid w:val="4E6F30B9"/>
    <w:rsid w:val="4E84E2F8"/>
    <w:rsid w:val="4FB009E8"/>
    <w:rsid w:val="50388D49"/>
    <w:rsid w:val="50FBA6C1"/>
    <w:rsid w:val="52DC388D"/>
    <w:rsid w:val="531D6D19"/>
    <w:rsid w:val="532840F2"/>
    <w:rsid w:val="5362339D"/>
    <w:rsid w:val="536B262D"/>
    <w:rsid w:val="5446AC7C"/>
    <w:rsid w:val="545F6642"/>
    <w:rsid w:val="54C93A65"/>
    <w:rsid w:val="54D0DB08"/>
    <w:rsid w:val="55BD5654"/>
    <w:rsid w:val="56145F00"/>
    <w:rsid w:val="5656F7AC"/>
    <w:rsid w:val="5666AAE2"/>
    <w:rsid w:val="56FDA87A"/>
    <w:rsid w:val="5700D73F"/>
    <w:rsid w:val="57582B92"/>
    <w:rsid w:val="5797936F"/>
    <w:rsid w:val="57A495E1"/>
    <w:rsid w:val="57C96DF9"/>
    <w:rsid w:val="57E7ABD8"/>
    <w:rsid w:val="58AF8AC1"/>
    <w:rsid w:val="58EB2982"/>
    <w:rsid w:val="593AA2FD"/>
    <w:rsid w:val="5AEB6FEC"/>
    <w:rsid w:val="5AEF9570"/>
    <w:rsid w:val="5B6DC9B0"/>
    <w:rsid w:val="5C874660"/>
    <w:rsid w:val="5EBE0F14"/>
    <w:rsid w:val="5EF3EAC4"/>
    <w:rsid w:val="5F553528"/>
    <w:rsid w:val="5FA1F274"/>
    <w:rsid w:val="5FC56A29"/>
    <w:rsid w:val="5FF6D501"/>
    <w:rsid w:val="60756E79"/>
    <w:rsid w:val="607C2EAB"/>
    <w:rsid w:val="61294589"/>
    <w:rsid w:val="617A7CD4"/>
    <w:rsid w:val="61ACF3F6"/>
    <w:rsid w:val="61AE1708"/>
    <w:rsid w:val="626AE9B4"/>
    <w:rsid w:val="628B90F6"/>
    <w:rsid w:val="648A95B1"/>
    <w:rsid w:val="64BD19D7"/>
    <w:rsid w:val="64FC838D"/>
    <w:rsid w:val="64FF8CF2"/>
    <w:rsid w:val="658B29AE"/>
    <w:rsid w:val="658F3A2B"/>
    <w:rsid w:val="659F8BEC"/>
    <w:rsid w:val="66296A05"/>
    <w:rsid w:val="664E3259"/>
    <w:rsid w:val="66AE16B9"/>
    <w:rsid w:val="6778E938"/>
    <w:rsid w:val="678C3E1F"/>
    <w:rsid w:val="67D04ABA"/>
    <w:rsid w:val="6849E71A"/>
    <w:rsid w:val="685B8E48"/>
    <w:rsid w:val="68A8B959"/>
    <w:rsid w:val="68ABD3DB"/>
    <w:rsid w:val="694684EA"/>
    <w:rsid w:val="69BFC77E"/>
    <w:rsid w:val="6A3CBE22"/>
    <w:rsid w:val="6A48E382"/>
    <w:rsid w:val="6A4AB005"/>
    <w:rsid w:val="6A9FA664"/>
    <w:rsid w:val="6ACD2DC1"/>
    <w:rsid w:val="6B1BC6B9"/>
    <w:rsid w:val="6B69CDCA"/>
    <w:rsid w:val="6CD7E9E3"/>
    <w:rsid w:val="6DBAB699"/>
    <w:rsid w:val="6DCF3514"/>
    <w:rsid w:val="6DFA70C0"/>
    <w:rsid w:val="6E40E7A1"/>
    <w:rsid w:val="6EA5BD68"/>
    <w:rsid w:val="6EBE9C7E"/>
    <w:rsid w:val="6EC7A1E9"/>
    <w:rsid w:val="6F787931"/>
    <w:rsid w:val="705F0657"/>
    <w:rsid w:val="71095337"/>
    <w:rsid w:val="71B50B3B"/>
    <w:rsid w:val="72232F4A"/>
    <w:rsid w:val="727D40E1"/>
    <w:rsid w:val="72B01D18"/>
    <w:rsid w:val="7382CA28"/>
    <w:rsid w:val="740DC93C"/>
    <w:rsid w:val="742D7A75"/>
    <w:rsid w:val="757900A3"/>
    <w:rsid w:val="7592F6BC"/>
    <w:rsid w:val="77337AE9"/>
    <w:rsid w:val="77838E3B"/>
    <w:rsid w:val="7786A3EE"/>
    <w:rsid w:val="77DDDB3C"/>
    <w:rsid w:val="7825C402"/>
    <w:rsid w:val="78285264"/>
    <w:rsid w:val="78563B4B"/>
    <w:rsid w:val="7857A4D5"/>
    <w:rsid w:val="79186D35"/>
    <w:rsid w:val="791F5E9C"/>
    <w:rsid w:val="79658D62"/>
    <w:rsid w:val="798B0059"/>
    <w:rsid w:val="79C8AEF8"/>
    <w:rsid w:val="7B1B96B6"/>
    <w:rsid w:val="7B71E78C"/>
    <w:rsid w:val="7BC11D53"/>
    <w:rsid w:val="7BD4EC71"/>
    <w:rsid w:val="7BDAE9B5"/>
    <w:rsid w:val="7BDD7BF9"/>
    <w:rsid w:val="7D3D75AD"/>
    <w:rsid w:val="7E9A13AD"/>
    <w:rsid w:val="7F8EA820"/>
    <w:rsid w:val="7FC623C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86D9"/>
  <w15:docId w15:val="{9AB637BD-38AA-4343-A4A0-B4EDD6F5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F0150B"/>
    <w:pPr>
      <w:tabs>
        <w:tab w:val="center" w:pos="4536"/>
        <w:tab w:val="right" w:pos="9072"/>
      </w:tabs>
      <w:spacing w:line="240" w:lineRule="auto"/>
    </w:pPr>
  </w:style>
  <w:style w:type="character" w:customStyle="1" w:styleId="ZhlavChar">
    <w:name w:val="Záhlaví Char"/>
    <w:basedOn w:val="Standardnpsmoodstavce"/>
    <w:link w:val="Zhlav"/>
    <w:uiPriority w:val="99"/>
    <w:rsid w:val="00F0150B"/>
  </w:style>
  <w:style w:type="paragraph" w:styleId="Zpat">
    <w:name w:val="footer"/>
    <w:basedOn w:val="Normln"/>
    <w:link w:val="ZpatChar"/>
    <w:uiPriority w:val="99"/>
    <w:unhideWhenUsed/>
    <w:rsid w:val="00F0150B"/>
    <w:pPr>
      <w:tabs>
        <w:tab w:val="center" w:pos="4536"/>
        <w:tab w:val="right" w:pos="9072"/>
      </w:tabs>
      <w:spacing w:line="240" w:lineRule="auto"/>
    </w:pPr>
  </w:style>
  <w:style w:type="character" w:customStyle="1" w:styleId="ZpatChar">
    <w:name w:val="Zápatí Char"/>
    <w:basedOn w:val="Standardnpsmoodstavce"/>
    <w:link w:val="Zpat"/>
    <w:uiPriority w:val="99"/>
    <w:rsid w:val="00F0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manticscholar.org/paper/Russia-Foreign-Policy-in-Latin-America-Case-Study-Watier/b01e1c368f1e7884d414779304c33df4d45ab466/figur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43fc90-4161-4e7d-b4c6-68a6b483b2a0">
      <Terms xmlns="http://schemas.microsoft.com/office/infopath/2007/PartnerControls"/>
    </lcf76f155ced4ddcb4097134ff3c332f>
    <TaxCatchAll xmlns="86c2d9ae-fe3f-4203-8b23-08bf561d6e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1D661DDBD52142A1237BCFB8B7F342" ma:contentTypeVersion="18" ma:contentTypeDescription="Vytvoří nový dokument" ma:contentTypeScope="" ma:versionID="6d699ea22270c65777e083d38dd06457">
  <xsd:schema xmlns:xsd="http://www.w3.org/2001/XMLSchema" xmlns:xs="http://www.w3.org/2001/XMLSchema" xmlns:p="http://schemas.microsoft.com/office/2006/metadata/properties" xmlns:ns2="86c2d9ae-fe3f-4203-8b23-08bf561d6ecd" xmlns:ns3="c243fc90-4161-4e7d-b4c6-68a6b483b2a0" targetNamespace="http://schemas.microsoft.com/office/2006/metadata/properties" ma:root="true" ma:fieldsID="b41739892605f534007c93db7a30a5d5" ns2:_="" ns3:_="">
    <xsd:import namespace="86c2d9ae-fe3f-4203-8b23-08bf561d6ecd"/>
    <xsd:import namespace="c243fc90-4161-4e7d-b4c6-68a6b483b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2d9ae-fe3f-4203-8b23-08bf561d6ec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bb896e6-c475-49eb-9770-0a318e9c3612}" ma:internalName="TaxCatchAll" ma:showField="CatchAllData" ma:web="86c2d9ae-fe3f-4203-8b23-08bf561d6e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3fc90-4161-4e7d-b4c6-68a6b48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27dd16fa-df82-42a5-acbd-34776075af2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E1CA3-60FB-4036-AED1-B1E92481D857}">
  <ds:schemaRefs>
    <ds:schemaRef ds:uri="http://schemas.microsoft.com/office/2006/metadata/properties"/>
    <ds:schemaRef ds:uri="http://schemas.microsoft.com/office/infopath/2007/PartnerControls"/>
    <ds:schemaRef ds:uri="c243fc90-4161-4e7d-b4c6-68a6b483b2a0"/>
    <ds:schemaRef ds:uri="86c2d9ae-fe3f-4203-8b23-08bf561d6ecd"/>
  </ds:schemaRefs>
</ds:datastoreItem>
</file>

<file path=customXml/itemProps2.xml><?xml version="1.0" encoding="utf-8"?>
<ds:datastoreItem xmlns:ds="http://schemas.openxmlformats.org/officeDocument/2006/customXml" ds:itemID="{64D7179F-B5A4-400F-980D-D0CC65E3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2d9ae-fe3f-4203-8b23-08bf561d6ecd"/>
    <ds:schemaRef ds:uri="c243fc90-4161-4e7d-b4c6-68a6b483b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027B8-E3F2-4175-93BE-50716A89A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803</Words>
  <Characters>4738</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Váňa</dc:creator>
  <cp:lastModifiedBy>Martin Váňa</cp:lastModifiedBy>
  <cp:revision>2</cp:revision>
  <dcterms:created xsi:type="dcterms:W3CDTF">2023-11-28T11:09:00Z</dcterms:created>
  <dcterms:modified xsi:type="dcterms:W3CDTF">2023-11-28T11:09:00Z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0x010100CF1D661DDBD52142A1237BCFB8B7F342</vt:lpwstr>
  </property>
  <property fmtid="{D5CDD505-2E9C-101B-9397-08002B2CF9AE}" pid="3" name="MediaServiceImageTags">
    <vt:lpwstr/>
  </property>
</Properties>
</file>